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9E70FA" w:rsidP="009E70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70FA" w:rsidP="009E70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70FA" w:rsidP="009E70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70FA" w:rsidP="009E70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70FA" w:rsidRPr="009E70FA" w:rsidP="009E70FA">
      <w:pPr>
        <w:jc w:val="center"/>
        <w:rPr>
          <w:rFonts w:ascii="Times New Roman" w:hAnsi="Times New Roman" w:cs="Times New Roman"/>
          <w:sz w:val="24"/>
          <w:szCs w:val="24"/>
        </w:rPr>
      </w:pPr>
      <w:r w:rsidRPr="009E70FA">
        <w:rPr>
          <w:rFonts w:ascii="Times New Roman" w:hAnsi="Times New Roman" w:cs="Times New Roman"/>
          <w:sz w:val="24"/>
          <w:szCs w:val="24"/>
        </w:rPr>
        <w:t>Stand Your Ground Law</w:t>
      </w:r>
    </w:p>
    <w:p w:rsidR="009E70FA" w:rsidRPr="009E70FA" w:rsidP="009E70FA">
      <w:pPr>
        <w:jc w:val="center"/>
        <w:rPr>
          <w:rFonts w:ascii="Times New Roman" w:hAnsi="Times New Roman" w:cs="Times New Roman"/>
          <w:sz w:val="24"/>
          <w:szCs w:val="24"/>
        </w:rPr>
      </w:pPr>
      <w:r w:rsidRPr="009E70FA">
        <w:rPr>
          <w:rFonts w:ascii="Times New Roman" w:hAnsi="Times New Roman" w:cs="Times New Roman"/>
          <w:sz w:val="24"/>
          <w:szCs w:val="24"/>
        </w:rPr>
        <w:t>Student’s Name</w:t>
      </w:r>
    </w:p>
    <w:p w:rsidR="009E70FA" w:rsidRPr="009E70FA" w:rsidP="009E70FA">
      <w:pPr>
        <w:jc w:val="center"/>
        <w:rPr>
          <w:rFonts w:ascii="Times New Roman" w:hAnsi="Times New Roman" w:cs="Times New Roman"/>
          <w:sz w:val="24"/>
          <w:szCs w:val="24"/>
        </w:rPr>
      </w:pPr>
      <w:r w:rsidRPr="009E70FA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E70FA" w:rsidRPr="009E70FA" w:rsidP="009E70FA">
      <w:pPr>
        <w:jc w:val="center"/>
        <w:rPr>
          <w:rFonts w:ascii="Times New Roman" w:hAnsi="Times New Roman" w:cs="Times New Roman"/>
          <w:sz w:val="24"/>
          <w:szCs w:val="24"/>
        </w:rPr>
      </w:pPr>
      <w:r w:rsidRPr="009E70FA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9E70FA" w:rsidP="009E70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70FA" w:rsidP="009E70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70FA" w:rsidP="009E70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70FA" w:rsidP="009E70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70FA" w:rsidP="009E70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70FA" w:rsidP="009E70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70FA" w:rsidP="009E70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70FA" w:rsidP="009E70FA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9E70FA" w:rsidP="009E70FA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9E70FA" w:rsidP="009E70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8F8" w:rsidRPr="009E70FA" w:rsidP="009E70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70FA">
        <w:rPr>
          <w:rFonts w:ascii="Times New Roman" w:hAnsi="Times New Roman" w:cs="Times New Roman"/>
          <w:b/>
          <w:sz w:val="24"/>
          <w:szCs w:val="24"/>
        </w:rPr>
        <w:t xml:space="preserve">Stand Your Ground </w:t>
      </w:r>
      <w:r w:rsidRPr="009E70FA" w:rsidR="00F37921">
        <w:rPr>
          <w:rFonts w:ascii="Times New Roman" w:hAnsi="Times New Roman" w:cs="Times New Roman"/>
          <w:b/>
          <w:sz w:val="24"/>
          <w:szCs w:val="24"/>
        </w:rPr>
        <w:t>Law</w:t>
      </w:r>
    </w:p>
    <w:p w:rsidR="008B51CD" w:rsidRPr="009E70FA" w:rsidP="00776E32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9E70FA">
        <w:rPr>
          <w:rFonts w:ascii="Times New Roman" w:hAnsi="Times New Roman" w:cs="Times New Roman"/>
          <w:sz w:val="24"/>
          <w:szCs w:val="24"/>
        </w:rPr>
        <w:t>Stand</w:t>
      </w:r>
      <w:r w:rsidRPr="009E70FA">
        <w:rPr>
          <w:rFonts w:ascii="Times New Roman" w:hAnsi="Times New Roman" w:cs="Times New Roman"/>
          <w:sz w:val="24"/>
          <w:szCs w:val="24"/>
        </w:rPr>
        <w:t xml:space="preserve"> your ground laws or batter wife syndrome defense has been a controversial law in many states in the USA</w:t>
      </w:r>
      <w:r w:rsidRPr="00F47A95" w:rsidR="00F47A95">
        <w:t xml:space="preserve"> </w:t>
      </w:r>
      <w:r w:rsidR="00F47A95">
        <w:t>(</w:t>
      </w:r>
      <w:r w:rsidR="00F47A95">
        <w:rPr>
          <w:rFonts w:ascii="Times New Roman" w:hAnsi="Times New Roman" w:cs="Times New Roman"/>
          <w:sz w:val="24"/>
          <w:szCs w:val="24"/>
        </w:rPr>
        <w:t>Humphreys et al., 2017).</w:t>
      </w:r>
      <w:r w:rsidRPr="009E70FA">
        <w:rPr>
          <w:rFonts w:ascii="Times New Roman" w:hAnsi="Times New Roman" w:cs="Times New Roman"/>
          <w:sz w:val="24"/>
          <w:szCs w:val="24"/>
        </w:rPr>
        <w:t xml:space="preserve"> </w:t>
      </w:r>
      <w:r w:rsidRPr="009E70FA">
        <w:rPr>
          <w:rFonts w:ascii="Times New Roman" w:hAnsi="Times New Roman" w:cs="Times New Roman"/>
          <w:sz w:val="24"/>
          <w:szCs w:val="24"/>
        </w:rPr>
        <w:t>There is always a significant controversy on when self-defense is necessary. The case I will discuss involved Michael Drejka, who killed Markeis McGlockton after fearing his life amid a heat</w:t>
      </w:r>
      <w:r w:rsidR="00776E32">
        <w:rPr>
          <w:rFonts w:ascii="Times New Roman" w:hAnsi="Times New Roman" w:cs="Times New Roman"/>
          <w:sz w:val="24"/>
          <w:szCs w:val="24"/>
        </w:rPr>
        <w:t>ed argument over a parking spot</w:t>
      </w:r>
      <w:r w:rsidRPr="009E70FA">
        <w:rPr>
          <w:rFonts w:ascii="Times New Roman" w:hAnsi="Times New Roman" w:cs="Times New Roman"/>
          <w:sz w:val="24"/>
          <w:szCs w:val="24"/>
        </w:rPr>
        <w:t>. The incident happened in Florida, where Michael Drejka was found</w:t>
      </w:r>
      <w:bookmarkStart w:id="0" w:name="_GoBack"/>
      <w:bookmarkEnd w:id="0"/>
      <w:r w:rsidRPr="009E70FA">
        <w:rPr>
          <w:rFonts w:ascii="Times New Roman" w:hAnsi="Times New Roman" w:cs="Times New Roman"/>
          <w:sz w:val="24"/>
          <w:szCs w:val="24"/>
        </w:rPr>
        <w:t xml:space="preserve"> guilty of manslaughter by a Florida jury. </w:t>
      </w:r>
      <w:r w:rsidRPr="009E70FA" w:rsidR="005218CC">
        <w:rPr>
          <w:rFonts w:ascii="Times New Roman" w:hAnsi="Times New Roman" w:cs="Times New Roman"/>
          <w:sz w:val="24"/>
          <w:szCs w:val="24"/>
        </w:rPr>
        <w:t xml:space="preserve">On July 19, 2018, McGlockton was in the convenience store with his son. His girlfriend (Britany Jacobs) and two small children were sitting in a car parked in a handicapped space. Mr. Drejka approached started an argument with Ms. Britany about parking in the space without a handicap permit. </w:t>
      </w:r>
      <w:r w:rsidRPr="009E70FA" w:rsidR="00F619C4">
        <w:rPr>
          <w:rFonts w:ascii="Times New Roman" w:hAnsi="Times New Roman" w:cs="Times New Roman"/>
          <w:sz w:val="24"/>
          <w:szCs w:val="24"/>
        </w:rPr>
        <w:t>Mr.</w:t>
      </w:r>
      <w:r w:rsidRPr="009E70FA" w:rsidR="005218CC">
        <w:rPr>
          <w:rFonts w:ascii="Times New Roman" w:hAnsi="Times New Roman" w:cs="Times New Roman"/>
          <w:sz w:val="24"/>
          <w:szCs w:val="24"/>
        </w:rPr>
        <w:t xml:space="preserve"> McGlockton is seen approaching Mr. Drejka and shoving him to the ground. In retaliation, Drejka pulls </w:t>
      </w:r>
      <w:r w:rsidRPr="009E70FA" w:rsidR="00F619C4">
        <w:rPr>
          <w:rFonts w:ascii="Times New Roman" w:hAnsi="Times New Roman" w:cs="Times New Roman"/>
          <w:sz w:val="24"/>
          <w:szCs w:val="24"/>
        </w:rPr>
        <w:t>out a</w:t>
      </w:r>
      <w:r w:rsidRPr="009E70FA" w:rsidR="005218CC">
        <w:rPr>
          <w:rFonts w:ascii="Times New Roman" w:hAnsi="Times New Roman" w:cs="Times New Roman"/>
          <w:sz w:val="24"/>
          <w:szCs w:val="24"/>
        </w:rPr>
        <w:t xml:space="preserve"> gun and shoots Mr. McGlockton's chest, leading to his death. The six juror's bench found Mr. Drejka guilty of manslaughter and that he was not acting in self-defense. 
</w:t>
      </w:r>
    </w:p>
    <w:p w:rsidR="00125168" w:rsidRPr="009E70FA" w:rsidP="00776E32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776E32">
        <w:rPr>
          <w:rFonts w:ascii="Times New Roman" w:hAnsi="Times New Roman" w:cs="Times New Roman"/>
          <w:sz w:val="24"/>
          <w:szCs w:val="24"/>
        </w:rPr>
        <w:t xml:space="preserve">This </w:t>
      </w:r>
      <w:r>
        <w:rPr>
          <w:rFonts w:ascii="Times New Roman" w:hAnsi="Times New Roman" w:cs="Times New Roman"/>
          <w:sz w:val="24"/>
          <w:szCs w:val="24"/>
        </w:rPr>
        <w:t xml:space="preserve">case </w:t>
      </w:r>
      <w:r w:rsidRPr="00776E32">
        <w:rPr>
          <w:rFonts w:ascii="Times New Roman" w:hAnsi="Times New Roman" w:cs="Times New Roman"/>
          <w:sz w:val="24"/>
          <w:szCs w:val="24"/>
        </w:rPr>
        <w:t>was an ultimate test for the “Stand Your Ground” law in self-defense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76E32">
        <w:rPr>
          <w:rFonts w:ascii="Times New Roman" w:hAnsi="Times New Roman" w:cs="Times New Roman"/>
          <w:sz w:val="24"/>
          <w:szCs w:val="24"/>
        </w:rPr>
        <w:t xml:space="preserve"> </w:t>
      </w:r>
      <w:r w:rsidRPr="009E70FA">
        <w:rPr>
          <w:rFonts w:ascii="Times New Roman" w:hAnsi="Times New Roman" w:cs="Times New Roman"/>
          <w:sz w:val="24"/>
          <w:szCs w:val="24"/>
        </w:rPr>
        <w:t>I think the court ruled in favor of Mr. McGlockton because he was not armed. Mr. Drejka made a rushed decision and shot McGlockton, who was unarmed. I believe this is the main reason why McGlockton won the case.
</w:t>
      </w:r>
    </w:p>
    <w:p w:rsidR="00125168" w:rsidP="001C0F99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9E70FA">
        <w:rPr>
          <w:rFonts w:ascii="Times New Roman" w:hAnsi="Times New Roman" w:cs="Times New Roman"/>
          <w:sz w:val="24"/>
          <w:szCs w:val="24"/>
        </w:rPr>
        <w:t xml:space="preserve">Self-defense should only justify murder when the opponent has a weapon or </w:t>
      </w:r>
      <w:r w:rsidRPr="009E70FA" w:rsidR="009E70FA">
        <w:rPr>
          <w:rFonts w:ascii="Times New Roman" w:hAnsi="Times New Roman" w:cs="Times New Roman"/>
          <w:sz w:val="24"/>
          <w:szCs w:val="24"/>
        </w:rPr>
        <w:t xml:space="preserve">is </w:t>
      </w:r>
      <w:r w:rsidRPr="009E70FA">
        <w:rPr>
          <w:rFonts w:ascii="Times New Roman" w:hAnsi="Times New Roman" w:cs="Times New Roman"/>
          <w:sz w:val="24"/>
          <w:szCs w:val="24"/>
        </w:rPr>
        <w:t xml:space="preserve">armed. </w:t>
      </w:r>
      <w:r w:rsidR="00776E32">
        <w:rPr>
          <w:rFonts w:ascii="Times New Roman" w:hAnsi="Times New Roman" w:cs="Times New Roman"/>
          <w:sz w:val="24"/>
          <w:szCs w:val="24"/>
        </w:rPr>
        <w:t xml:space="preserve">It was wrong to shoot someone who was not armed. </w:t>
      </w:r>
    </w:p>
    <w:p w:rsidR="001C0F99" w:rsidP="001C0F99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C0F99" w:rsidP="001C0F99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C0F99" w:rsidP="001C0F99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C0F99" w:rsidRPr="00F47A95" w:rsidP="00F47A95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7A95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1C0F99" w:rsidP="00F47A95">
      <w:pPr>
        <w:rPr>
          <w:rFonts w:ascii="Times New Roman" w:hAnsi="Times New Roman" w:cs="Times New Roman"/>
          <w:sz w:val="24"/>
          <w:szCs w:val="24"/>
        </w:rPr>
      </w:pPr>
      <w:r w:rsidRPr="001C0F99">
        <w:rPr>
          <w:rFonts w:ascii="Times New Roman" w:hAnsi="Times New Roman" w:cs="Times New Roman"/>
          <w:sz w:val="24"/>
          <w:szCs w:val="24"/>
        </w:rPr>
        <w:t xml:space="preserve">Humphreys, D. K., </w:t>
      </w:r>
      <w:r w:rsidRPr="001C0F99">
        <w:rPr>
          <w:rFonts w:ascii="Times New Roman" w:hAnsi="Times New Roman" w:cs="Times New Roman"/>
          <w:sz w:val="24"/>
          <w:szCs w:val="24"/>
        </w:rPr>
        <w:t>Gasparrini</w:t>
      </w:r>
      <w:r w:rsidRPr="001C0F99">
        <w:rPr>
          <w:rFonts w:ascii="Times New Roman" w:hAnsi="Times New Roman" w:cs="Times New Roman"/>
          <w:sz w:val="24"/>
          <w:szCs w:val="24"/>
        </w:rPr>
        <w:t xml:space="preserve">, A., &amp; </w:t>
      </w:r>
      <w:r w:rsidRPr="001C0F99">
        <w:rPr>
          <w:rFonts w:ascii="Times New Roman" w:hAnsi="Times New Roman" w:cs="Times New Roman"/>
          <w:sz w:val="24"/>
          <w:szCs w:val="24"/>
        </w:rPr>
        <w:t>Wiebe</w:t>
      </w:r>
      <w:r w:rsidRPr="001C0F99">
        <w:rPr>
          <w:rFonts w:ascii="Times New Roman" w:hAnsi="Times New Roman" w:cs="Times New Roman"/>
          <w:sz w:val="24"/>
          <w:szCs w:val="24"/>
        </w:rPr>
        <w:t>, D. J. (2017). Evaluating the impact of Florida’s “stand your ground” self-defense law on homicide and suicide by firearm: an interrupted time series study. JAMA internal medicine, 177(1), 44-50.</w:t>
      </w:r>
    </w:p>
    <w:p w:rsidR="001C0F99" w:rsidP="001C0F99">
      <w:pPr>
        <w:rPr>
          <w:rFonts w:ascii="Times New Roman" w:hAnsi="Times New Roman" w:cs="Times New Roman"/>
          <w:sz w:val="24"/>
          <w:szCs w:val="24"/>
        </w:rPr>
      </w:pPr>
      <w:r w:rsidRPr="001C0F99">
        <w:rPr>
          <w:rFonts w:ascii="Times New Roman" w:hAnsi="Times New Roman" w:cs="Times New Roman"/>
          <w:sz w:val="24"/>
          <w:szCs w:val="24"/>
        </w:rPr>
        <w:t>Reyes, E. (2017). Florida's Stand Your Ground Law: How to Get Away with Murder. </w:t>
      </w:r>
      <w:r w:rsidRPr="001C0F99">
        <w:rPr>
          <w:rFonts w:ascii="Times New Roman" w:hAnsi="Times New Roman" w:cs="Times New Roman"/>
          <w:i/>
          <w:iCs/>
          <w:sz w:val="24"/>
          <w:szCs w:val="24"/>
        </w:rPr>
        <w:t xml:space="preserve">Intercultural Hum. </w:t>
      </w:r>
      <w:r w:rsidRPr="001C0F99">
        <w:rPr>
          <w:rFonts w:ascii="Times New Roman" w:hAnsi="Times New Roman" w:cs="Times New Roman"/>
          <w:i/>
          <w:iCs/>
          <w:sz w:val="24"/>
          <w:szCs w:val="24"/>
        </w:rPr>
        <w:t>Rts</w:t>
      </w:r>
      <w:r w:rsidRPr="001C0F99">
        <w:rPr>
          <w:rFonts w:ascii="Times New Roman" w:hAnsi="Times New Roman" w:cs="Times New Roman"/>
          <w:i/>
          <w:iCs/>
          <w:sz w:val="24"/>
          <w:szCs w:val="24"/>
        </w:rPr>
        <w:t>. L. Rev.</w:t>
      </w:r>
      <w:r w:rsidRPr="001C0F99">
        <w:rPr>
          <w:rFonts w:ascii="Times New Roman" w:hAnsi="Times New Roman" w:cs="Times New Roman"/>
          <w:sz w:val="24"/>
          <w:szCs w:val="24"/>
        </w:rPr>
        <w:t>, </w:t>
      </w:r>
      <w:r w:rsidRPr="001C0F99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1C0F99">
        <w:rPr>
          <w:rFonts w:ascii="Times New Roman" w:hAnsi="Times New Roman" w:cs="Times New Roman"/>
          <w:sz w:val="24"/>
          <w:szCs w:val="24"/>
        </w:rPr>
        <w:t>, 147.</w:t>
      </w:r>
    </w:p>
    <w:p w:rsidR="00F47A95" w:rsidRPr="001C0F99" w:rsidP="001C0F99">
      <w:pPr>
        <w:rPr>
          <w:rFonts w:ascii="Times New Roman" w:hAnsi="Times New Roman" w:cs="Times New Roman"/>
          <w:sz w:val="24"/>
          <w:szCs w:val="24"/>
        </w:rPr>
      </w:pPr>
      <w:r w:rsidRPr="00F47A95">
        <w:rPr>
          <w:rFonts w:ascii="Times New Roman" w:hAnsi="Times New Roman" w:cs="Times New Roman"/>
          <w:sz w:val="24"/>
          <w:szCs w:val="24"/>
        </w:rPr>
        <w:t>https://www.nytimes.com/2019/08/24/us/michael-drejka-stand-your-ground.html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015336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1C0F99" w:rsidRPr="001C0F9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C0F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C0F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C0F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47A9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1C0F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C0F9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BBB"/>
    <w:rsid w:val="00125168"/>
    <w:rsid w:val="001A7B27"/>
    <w:rsid w:val="001C0F99"/>
    <w:rsid w:val="005218CC"/>
    <w:rsid w:val="007148F8"/>
    <w:rsid w:val="00776E32"/>
    <w:rsid w:val="008B51CD"/>
    <w:rsid w:val="009E70FA"/>
    <w:rsid w:val="00AD123B"/>
    <w:rsid w:val="00E62BBB"/>
    <w:rsid w:val="00F37921"/>
    <w:rsid w:val="00F47A95"/>
    <w:rsid w:val="00F619C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D80AFF6-9FF7-4107-BE59-C4160B125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0F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F99"/>
  </w:style>
  <w:style w:type="paragraph" w:styleId="Footer">
    <w:name w:val="footer"/>
    <w:basedOn w:val="Normal"/>
    <w:link w:val="FooterChar"/>
    <w:uiPriority w:val="99"/>
    <w:unhideWhenUsed/>
    <w:rsid w:val="001C0F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F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3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9</cp:revision>
  <dcterms:created xsi:type="dcterms:W3CDTF">2020-10-15T10:55:00Z</dcterms:created>
  <dcterms:modified xsi:type="dcterms:W3CDTF">2020-10-15T15:49:00Z</dcterms:modified>
</cp:coreProperties>
</file>